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F52" w:rsidRDefault="00EE5F52">
      <w:pPr>
        <w:spacing w:after="120" w:line="300" w:lineRule="auto"/>
        <w:jc w:val="center"/>
        <w:rPr>
          <w:b/>
          <w:bCs/>
          <w:color w:val="1F3864"/>
          <w:sz w:val="28"/>
          <w:szCs w:val="28"/>
        </w:rPr>
      </w:pPr>
    </w:p>
    <w:p w:rsidR="004070F5" w:rsidRDefault="00B90A34">
      <w:pPr>
        <w:spacing w:after="120" w:line="300" w:lineRule="auto"/>
        <w:jc w:val="center"/>
      </w:pPr>
      <w:r>
        <w:rPr>
          <w:b/>
          <w:bCs/>
          <w:color w:val="1F3864"/>
          <w:sz w:val="28"/>
          <w:szCs w:val="28"/>
        </w:rPr>
        <w:t>Discurso de presentación</w:t>
      </w:r>
    </w:p>
    <w:p w:rsidR="004070F5" w:rsidRDefault="00B90A34">
      <w:pPr>
        <w:spacing w:after="80" w:line="300" w:lineRule="auto"/>
        <w:jc w:val="center"/>
      </w:pPr>
      <w:r>
        <w:rPr>
          <w:b/>
          <w:bCs/>
          <w:color w:val="1F3864"/>
          <w:sz w:val="32"/>
          <w:szCs w:val="32"/>
        </w:rPr>
        <w:t>IV Estrategia Iberoamericana de Seguridad y Salud en el Trabajo 2026–2030</w:t>
      </w:r>
    </w:p>
    <w:p w:rsidR="004070F5" w:rsidRDefault="00B90A34">
      <w:pPr>
        <w:spacing w:after="80" w:line="280" w:lineRule="auto"/>
        <w:jc w:val="center"/>
      </w:pPr>
      <w:r>
        <w:rPr>
          <w:i/>
          <w:iCs/>
          <w:sz w:val="22"/>
          <w:szCs w:val="22"/>
        </w:rPr>
        <w:t>XV Congreso PREVENCIA — Barcelona, 15 y 16 de junio de 2026</w:t>
      </w:r>
    </w:p>
    <w:p w:rsidR="004070F5" w:rsidRDefault="00B90A34">
      <w:pPr>
        <w:spacing w:after="240" w:line="280" w:lineRule="auto"/>
        <w:jc w:val="center"/>
      </w:pPr>
      <w:r>
        <w:rPr>
          <w:i/>
          <w:iCs/>
          <w:sz w:val="22"/>
          <w:szCs w:val="22"/>
        </w:rPr>
        <w:t>Universitat Pompeu Fabra</w:t>
      </w:r>
    </w:p>
    <w:p w:rsidR="004070F5" w:rsidRDefault="004070F5" w:rsidP="004B1177">
      <w:pPr>
        <w:pBdr>
          <w:bottom w:val="single" w:sz="6" w:space="0" w:color="1F3864"/>
        </w:pBdr>
        <w:spacing w:after="120"/>
      </w:pPr>
    </w:p>
    <w:p w:rsidR="00CB55D2" w:rsidRPr="00CB55D2" w:rsidRDefault="00CB55D2" w:rsidP="00CB55D2">
      <w:pPr>
        <w:spacing w:after="160" w:line="259" w:lineRule="auto"/>
        <w:jc w:val="both"/>
        <w:rPr>
          <w:rFonts w:ascii="Arial" w:eastAsiaTheme="minorHAnsi" w:hAnsi="Arial" w:cs="Arial"/>
          <w:sz w:val="28"/>
          <w:szCs w:val="28"/>
          <w:lang w:eastAsia="en-US"/>
        </w:rPr>
      </w:pP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**Excelentísimas Ministras y Excelentísimos Ministros, altas autoridades, representantes de los gobiernos, de las organizaciones sindicales y empresariales, del Gobierno de Cataluña, señoras y señores congresistas, personas expertas del ámbito académico, técnico e institucional, queridas amigas y queridos amigos: **</w:t>
      </w:r>
    </w:p>
    <w:p w:rsidR="00F13E02" w:rsidRDefault="00F13E02" w:rsidP="00CB55D2">
      <w:pPr>
        <w:spacing w:after="160" w:line="360" w:lineRule="auto"/>
        <w:jc w:val="both"/>
        <w:rPr>
          <w:rFonts w:ascii="Arial" w:eastAsiaTheme="minorHAnsi" w:hAnsi="Arial" w:cs="Arial"/>
          <w:sz w:val="26"/>
          <w:szCs w:val="26"/>
          <w:lang w:eastAsia="en-US"/>
        </w:rPr>
      </w:pPr>
      <w:r w:rsidRPr="00F13E02">
        <w:rPr>
          <w:rFonts w:ascii="Arial" w:eastAsiaTheme="minorHAnsi" w:hAnsi="Arial" w:cs="Arial"/>
          <w:sz w:val="26"/>
          <w:szCs w:val="26"/>
          <w:lang w:eastAsia="en-US"/>
        </w:rPr>
        <w:t xml:space="preserve">Permítanme, antes de entrar en el contenido, compartir un pensamiento que decidí incorporar ayer mismo a estas palabras. Anoche tuve la fortuna de visitar, ya en silencio, la Basílica de la Sagrada Familia, pocos días después de que el Santo Padre León XIV bendijera e inaugurara su Torre de Jesucristo: uno de los actos más bellos y emocionantes que recuerdo. Cuando aquella torre se encendió sobre el cielo de Barcelona no iluminó solamente unas piedras: iluminó una manera de entender el trabajo humano. Y junto a ella, proyectada en la noche, brilló la frase de Antoni Gaudí que hoy quisiera hacer mía ante ustedes: «Para hacer las cosas bien hace falta, en primer lugar, amor, </w:t>
      </w:r>
      <w:proofErr w:type="gramStart"/>
      <w:r w:rsidRPr="00F13E02">
        <w:rPr>
          <w:rFonts w:ascii="Arial" w:eastAsiaTheme="minorHAnsi" w:hAnsi="Arial" w:cs="Arial"/>
          <w:sz w:val="26"/>
          <w:szCs w:val="26"/>
          <w:lang w:eastAsia="en-US"/>
        </w:rPr>
        <w:t>y</w:t>
      </w:r>
      <w:proofErr w:type="gramEnd"/>
      <w:r w:rsidRPr="00F13E02">
        <w:rPr>
          <w:rFonts w:ascii="Arial" w:eastAsiaTheme="minorHAnsi" w:hAnsi="Arial" w:cs="Arial"/>
          <w:sz w:val="26"/>
          <w:szCs w:val="26"/>
          <w:lang w:eastAsia="en-US"/>
        </w:rPr>
        <w:t xml:space="preserve"> en segundo lugar, la técnica». En esas pocas palabras </w:t>
      </w:r>
      <w:r w:rsidRPr="00F13E02">
        <w:rPr>
          <w:rFonts w:ascii="Arial" w:eastAsiaTheme="minorHAnsi" w:hAnsi="Arial" w:cs="Arial"/>
          <w:b/>
          <w:sz w:val="26"/>
          <w:szCs w:val="26"/>
          <w:lang w:eastAsia="en-US"/>
        </w:rPr>
        <w:t>—el amor antes que la técnica, nunca la técnica sin el amor—</w:t>
      </w:r>
      <w:r w:rsidRPr="00F13E02">
        <w:rPr>
          <w:rFonts w:ascii="Arial" w:eastAsiaTheme="minorHAnsi" w:hAnsi="Arial" w:cs="Arial"/>
          <w:sz w:val="26"/>
          <w:szCs w:val="26"/>
          <w:lang w:eastAsia="en-US"/>
        </w:rPr>
        <w:t xml:space="preserve"> late el mismo espíritu que el Papa ha confiado al mundo en su encíclica </w:t>
      </w:r>
      <w:r>
        <w:rPr>
          <w:rFonts w:ascii="Arial" w:eastAsiaTheme="minorHAnsi" w:hAnsi="Arial" w:cs="Arial"/>
          <w:sz w:val="26"/>
          <w:szCs w:val="26"/>
          <w:lang w:eastAsia="en-US"/>
        </w:rPr>
        <w:t>“</w:t>
      </w:r>
      <w:r w:rsidRPr="00F13E02">
        <w:rPr>
          <w:rFonts w:ascii="Arial" w:eastAsiaTheme="minorHAnsi" w:hAnsi="Arial" w:cs="Arial"/>
          <w:sz w:val="26"/>
          <w:szCs w:val="26"/>
          <w:lang w:eastAsia="en-US"/>
        </w:rPr>
        <w:t xml:space="preserve">Magnifica </w:t>
      </w:r>
      <w:proofErr w:type="spellStart"/>
      <w:r w:rsidRPr="00F13E02">
        <w:rPr>
          <w:rFonts w:ascii="Arial" w:eastAsiaTheme="minorHAnsi" w:hAnsi="Arial" w:cs="Arial"/>
          <w:sz w:val="26"/>
          <w:szCs w:val="26"/>
          <w:lang w:eastAsia="en-US"/>
        </w:rPr>
        <w:t>Humanitas</w:t>
      </w:r>
      <w:proofErr w:type="spellEnd"/>
      <w:r>
        <w:rPr>
          <w:rFonts w:ascii="Arial" w:eastAsiaTheme="minorHAnsi" w:hAnsi="Arial" w:cs="Arial"/>
          <w:sz w:val="26"/>
          <w:szCs w:val="26"/>
          <w:lang w:eastAsia="en-US"/>
        </w:rPr>
        <w:t>”</w:t>
      </w:r>
      <w:r w:rsidRPr="00F13E02">
        <w:rPr>
          <w:rFonts w:ascii="Arial" w:eastAsiaTheme="minorHAnsi" w:hAnsi="Arial" w:cs="Arial"/>
          <w:sz w:val="26"/>
          <w:szCs w:val="26"/>
          <w:lang w:eastAsia="en-US"/>
        </w:rPr>
        <w:t>: que ninguna herramienta, tampoco la inteligencia artificial, es neutral, porque siempre lleva el rostro de quien la concibe; y que el progreso solo es digno si custodia a la persona. Lo evoco con respeto a toda creencia y a toda forma de pensar, porque en una Iberoamérica rica y plural la palabra que une, y nunca la que polariza, es un valor universal.</w:t>
      </w:r>
    </w:p>
    <w:p w:rsidR="0093325F" w:rsidRDefault="00F13E02" w:rsidP="00CB55D2">
      <w:pPr>
        <w:spacing w:after="160" w:line="360" w:lineRule="auto"/>
        <w:jc w:val="both"/>
        <w:rPr>
          <w:rFonts w:ascii="Arial" w:eastAsiaTheme="minorHAnsi" w:hAnsi="Arial" w:cs="Arial"/>
          <w:sz w:val="26"/>
          <w:szCs w:val="26"/>
          <w:lang w:eastAsia="en-US"/>
        </w:rPr>
      </w:pPr>
      <w:r w:rsidRPr="00F13E02">
        <w:rPr>
          <w:rFonts w:ascii="Arial" w:eastAsiaTheme="minorHAnsi" w:hAnsi="Arial" w:cs="Arial"/>
          <w:sz w:val="26"/>
          <w:szCs w:val="26"/>
          <w:lang w:eastAsia="en-US"/>
        </w:rPr>
        <w:lastRenderedPageBreak/>
        <w:t xml:space="preserve"> </w:t>
      </w:r>
    </w:p>
    <w:p w:rsidR="00CB55D2" w:rsidRPr="00571837" w:rsidRDefault="00F13E02" w:rsidP="00CB55D2">
      <w:pPr>
        <w:spacing w:after="160" w:line="360" w:lineRule="auto"/>
        <w:jc w:val="both"/>
        <w:rPr>
          <w:rFonts w:ascii="Arial" w:eastAsiaTheme="minorHAnsi" w:hAnsi="Arial" w:cs="Arial"/>
          <w:sz w:val="26"/>
          <w:szCs w:val="26"/>
          <w:lang w:eastAsia="en-US"/>
        </w:rPr>
      </w:pPr>
      <w:r w:rsidRPr="00F13E02">
        <w:rPr>
          <w:rFonts w:ascii="Arial" w:eastAsiaTheme="minorHAnsi" w:hAnsi="Arial" w:cs="Arial"/>
          <w:sz w:val="26"/>
          <w:szCs w:val="26"/>
          <w:lang w:eastAsia="en-US"/>
        </w:rPr>
        <w:t xml:space="preserve">Comprendí entonces que esta tierra, esta ciudad y este preciso momento no son un escenario casual para nuestra IV Estrategia: son, como un ovillo, el hilo que enlaza a Gaudí precisamente en el centenario de su fallecimiento, al Santo Padre y a la OISS en una misma convicción. Porque la IV EISST nace, exactamente, de ese orden: primero la dignidad y la vida de quien trabaja </w:t>
      </w:r>
      <w:r w:rsidRPr="00F13E02">
        <w:rPr>
          <w:rFonts w:ascii="Arial" w:eastAsiaTheme="minorHAnsi" w:hAnsi="Arial" w:cs="Arial"/>
          <w:b/>
          <w:sz w:val="26"/>
          <w:szCs w:val="26"/>
          <w:lang w:eastAsia="en-US"/>
        </w:rPr>
        <w:t>—el amor—</w:t>
      </w:r>
      <w:r w:rsidRPr="00F13E02">
        <w:rPr>
          <w:rFonts w:ascii="Arial" w:eastAsiaTheme="minorHAnsi" w:hAnsi="Arial" w:cs="Arial"/>
          <w:sz w:val="26"/>
          <w:szCs w:val="26"/>
          <w:lang w:eastAsia="en-US"/>
        </w:rPr>
        <w:t xml:space="preserve">, y a su servicio la ética, la gobernanza y el conocimiento </w:t>
      </w:r>
      <w:r w:rsidRPr="00F13E02">
        <w:rPr>
          <w:rFonts w:ascii="Arial" w:eastAsiaTheme="minorHAnsi" w:hAnsi="Arial" w:cs="Arial"/>
          <w:b/>
          <w:sz w:val="26"/>
          <w:szCs w:val="26"/>
          <w:lang w:eastAsia="en-US"/>
        </w:rPr>
        <w:t>—la técnica—</w:t>
      </w:r>
      <w:r w:rsidRPr="00F13E02">
        <w:rPr>
          <w:rFonts w:ascii="Arial" w:eastAsiaTheme="minorHAnsi" w:hAnsi="Arial" w:cs="Arial"/>
          <w:sz w:val="26"/>
          <w:szCs w:val="26"/>
          <w:lang w:eastAsia="en-US"/>
        </w:rPr>
        <w:t xml:space="preserve">. Quisiera, por eso, que </w:t>
      </w:r>
      <w:r>
        <w:rPr>
          <w:rFonts w:ascii="Arial" w:eastAsiaTheme="minorHAnsi" w:hAnsi="Arial" w:cs="Arial"/>
          <w:sz w:val="26"/>
          <w:szCs w:val="26"/>
          <w:lang w:eastAsia="en-US"/>
        </w:rPr>
        <w:t>este documento</w:t>
      </w:r>
      <w:r w:rsidRPr="00F13E02">
        <w:rPr>
          <w:rFonts w:ascii="Arial" w:eastAsiaTheme="minorHAnsi" w:hAnsi="Arial" w:cs="Arial"/>
          <w:sz w:val="26"/>
          <w:szCs w:val="26"/>
          <w:lang w:eastAsia="en-US"/>
        </w:rPr>
        <w:t xml:space="preserve"> fuera para Iberoamérica lo que aquella torre fue la otra noche para Barcelona: un faro. Una luz que no deslumbra, sino que orienta; que no se impone, sino que guía. Con esa luz por delante, les pido que me acompañen.</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No presentamos hoy una norma supranacional ni un texto de obligado cumplimiento. Presentamos algo distinto y, precisamente por ello, de enorme valor: “un marco estratégico de referencia”, compartido, flexible y técnicamente solvente, destinado a orientar políticas públicas, fortalecer la concertación tripartita y ofrecer instrumentos útiles para la acción preventiva en Iberoamérica.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Este camino no empieza hoy. Tiene una trayectoria institucional sólida. Su impulso político se remonta, al menos, a 2007, cuando en Cádiz los Ministros y máximos responsables iberoamericanos de seguridad y salud en el trabajo encomendaron a la OISS el desarrollo de un documento consensuado de Estrategia Iberoamericana. De aquel mandato surgió la I Estrategia 2010-2013; después vendrían la II y la III; y hoy comparecemos para abrir una cuarta etapa. Por tanto, esta IV Estrategia no irrumpe como un ejercicio aislado: es la expresión madura de una política regional sostenida en el tiempo, construida sobre continuidad institucional, acumulación de conocimiento y cooperación entre países. </w:t>
      </w:r>
    </w:p>
    <w:p w:rsidR="0093325F"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La “filosofía” de esta IV Estrategia es clara. Parte de una convicción jurídica, ética y política: la seguridad y la salud en el trabajo forman parte del núcleo del trabajo decente y del Estado social, y hoy además se inscriben en un marco internacional </w:t>
      </w:r>
    </w:p>
    <w:p w:rsidR="0093325F" w:rsidRDefault="0093325F" w:rsidP="00CB55D2">
      <w:pPr>
        <w:spacing w:after="160" w:line="360" w:lineRule="auto"/>
        <w:jc w:val="both"/>
        <w:rPr>
          <w:rFonts w:ascii="Arial" w:eastAsiaTheme="minorHAnsi" w:hAnsi="Arial" w:cs="Arial"/>
          <w:sz w:val="26"/>
          <w:szCs w:val="26"/>
          <w:lang w:eastAsia="en-US"/>
        </w:rPr>
      </w:pP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más exigente, tras el reconocimiento por la OIT, en 2022, de un entorno de trabajo seguro y saludable como principio y derecho fundamental en el trabajo, con apoyo expreso en los Convenios núm. 155 y 187. Esa filosofía enlaza también con el Objetivo de Desarrollo Sostenible 8 y con la evidencia internacional que exige integrar salud mental, prevención, formación, gobernanza y protección social en una misma arquitectura pública.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La III Estrategia Iberoamericana 2021-2025 ya se definió sobre bases de tripartismo, diagnóstico compartido y marco común de actuación, y esa lógica se proyecta y se perfecciona ahora en la IV. Lo que hoy presentamos es, por tanto, heredero de una experiencia que ha permitido a la OISS desplegar estudios, protocolos, formación, foros técnicos y herramientas regionales, además de consolidar espacios permanentes como el Observatorio Iberoamericano de Seguridad y Salud en el Trabajo. La propia plataforma de la OISS muestra esa huella institucional: publicaciones, videoteca, soportes de divulgación y sensibilización, estándares, metodologías de prevención, asistencia técnica remota, herramientas para pymes y observatorio regional.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Ese es, precisamente, el espíritu de la IV EISST: </w:t>
      </w:r>
      <w:r w:rsidRPr="00571837">
        <w:rPr>
          <w:rFonts w:ascii="Arial" w:eastAsiaTheme="minorHAnsi" w:hAnsi="Arial" w:cs="Arial"/>
          <w:b/>
          <w:sz w:val="26"/>
          <w:szCs w:val="26"/>
          <w:lang w:eastAsia="en-US"/>
        </w:rPr>
        <w:t>ser útil, ser adaptable y ser movilizadora</w:t>
      </w:r>
      <w:r w:rsidRPr="00571837">
        <w:rPr>
          <w:rFonts w:ascii="Arial" w:eastAsiaTheme="minorHAnsi" w:hAnsi="Arial" w:cs="Arial"/>
          <w:sz w:val="26"/>
          <w:szCs w:val="26"/>
          <w:lang w:eastAsia="en-US"/>
        </w:rPr>
        <w:t xml:space="preserve">. </w:t>
      </w:r>
      <w:r w:rsidRPr="00571837">
        <w:rPr>
          <w:rFonts w:ascii="Arial" w:eastAsiaTheme="minorHAnsi" w:hAnsi="Arial" w:cs="Arial"/>
          <w:b/>
          <w:sz w:val="26"/>
          <w:szCs w:val="26"/>
          <w:lang w:eastAsia="en-US"/>
        </w:rPr>
        <w:t>Útil</w:t>
      </w:r>
      <w:r w:rsidRPr="00571837">
        <w:rPr>
          <w:rFonts w:ascii="Arial" w:eastAsiaTheme="minorHAnsi" w:hAnsi="Arial" w:cs="Arial"/>
          <w:sz w:val="26"/>
          <w:szCs w:val="26"/>
          <w:lang w:eastAsia="en-US"/>
        </w:rPr>
        <w:t xml:space="preserve">, porque no pretende quedarse en una declaración de principios, sino traducirse en guías, protocolos, estándares, repositorios, formación, indicadores y asistencia técnica. </w:t>
      </w:r>
      <w:r w:rsidRPr="00571837">
        <w:rPr>
          <w:rFonts w:ascii="Arial" w:eastAsiaTheme="minorHAnsi" w:hAnsi="Arial" w:cs="Arial"/>
          <w:b/>
          <w:sz w:val="26"/>
          <w:szCs w:val="26"/>
          <w:lang w:eastAsia="en-US"/>
        </w:rPr>
        <w:t>Adaptable</w:t>
      </w:r>
      <w:r w:rsidRPr="00571837">
        <w:rPr>
          <w:rFonts w:ascii="Arial" w:eastAsiaTheme="minorHAnsi" w:hAnsi="Arial" w:cs="Arial"/>
          <w:sz w:val="26"/>
          <w:szCs w:val="26"/>
          <w:lang w:eastAsia="en-US"/>
        </w:rPr>
        <w:t xml:space="preserve">, porque respeta la diversidad jurídica, institucional, productiva y social de Iberoamérica. Y </w:t>
      </w:r>
      <w:r w:rsidRPr="00571837">
        <w:rPr>
          <w:rFonts w:ascii="Arial" w:eastAsiaTheme="minorHAnsi" w:hAnsi="Arial" w:cs="Arial"/>
          <w:b/>
          <w:sz w:val="26"/>
          <w:szCs w:val="26"/>
          <w:lang w:eastAsia="en-US"/>
        </w:rPr>
        <w:t>movilizadora</w:t>
      </w:r>
      <w:r w:rsidRPr="00571837">
        <w:rPr>
          <w:rFonts w:ascii="Arial" w:eastAsiaTheme="minorHAnsi" w:hAnsi="Arial" w:cs="Arial"/>
          <w:sz w:val="26"/>
          <w:szCs w:val="26"/>
          <w:lang w:eastAsia="en-US"/>
        </w:rPr>
        <w:t xml:space="preserve">, porque entiende que, sin gobiernos comprometidos, sin interlocutores sociales activos y sin cooperación técnica continuada no habrá transformación preventiva suficiente. La Estrategia no sustituye las competencias nacionales; las ordena, las acompaña y las potencia desde una lógica regional de referencia.  </w:t>
      </w:r>
    </w:p>
    <w:p w:rsidR="00571837" w:rsidRDefault="00571837" w:rsidP="00CB55D2">
      <w:pPr>
        <w:spacing w:after="160" w:line="360" w:lineRule="auto"/>
        <w:jc w:val="both"/>
        <w:rPr>
          <w:rFonts w:ascii="Arial" w:eastAsiaTheme="minorHAnsi" w:hAnsi="Arial" w:cs="Arial"/>
          <w:sz w:val="26"/>
          <w:szCs w:val="26"/>
          <w:lang w:eastAsia="en-US"/>
        </w:rPr>
      </w:pPr>
    </w:p>
    <w:p w:rsidR="0093325F" w:rsidRDefault="0093325F" w:rsidP="00CB55D2">
      <w:pPr>
        <w:spacing w:after="160" w:line="360" w:lineRule="auto"/>
        <w:jc w:val="both"/>
        <w:rPr>
          <w:rFonts w:ascii="Arial" w:eastAsiaTheme="minorHAnsi" w:hAnsi="Arial" w:cs="Arial"/>
          <w:sz w:val="26"/>
          <w:szCs w:val="26"/>
          <w:lang w:eastAsia="en-US"/>
        </w:rPr>
      </w:pPr>
    </w:p>
    <w:p w:rsidR="0093325F" w:rsidRDefault="0093325F" w:rsidP="00CB55D2">
      <w:pPr>
        <w:spacing w:after="160" w:line="360" w:lineRule="auto"/>
        <w:jc w:val="both"/>
        <w:rPr>
          <w:rFonts w:ascii="Arial" w:eastAsiaTheme="minorHAnsi" w:hAnsi="Arial" w:cs="Arial"/>
          <w:sz w:val="26"/>
          <w:szCs w:val="26"/>
          <w:lang w:eastAsia="en-US"/>
        </w:rPr>
      </w:pPr>
      <w:bookmarkStart w:id="0" w:name="_GoBack"/>
      <w:bookmarkEnd w:id="0"/>
    </w:p>
    <w:p w:rsidR="00CB55D2" w:rsidRPr="00571837" w:rsidRDefault="00CB55D2" w:rsidP="00571837">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Su estructura responde a esa misma lógica. El borrador de la IV EISST se organiza en ocho grandes ámbitos prioritarios en la realidad social actual, vertebrados además por cuatro compromisos generales: reducir daños; extender cobertura; fortalecer gobernanza; y anticipar riesgos emergentes. Es una estructura coherente con el momento histórico que vivimos: un momento marcado por la transformación digital, la transición ecológica, la persistencia de amplias franjas de informalidad, la crisis de salud mental, la necesidad de sistemas de información más robustos y la exigencia de proteger mejor a los colectivos más vulnerables. </w:t>
      </w:r>
    </w:p>
    <w:p w:rsidR="00CB55D2" w:rsidRPr="00571837" w:rsidRDefault="00CB55D2" w:rsidP="00CB55D2">
      <w:pPr>
        <w:spacing w:after="18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Pero, por delante de estos ocho campos de acción más novedosos que buscan respuestas a las nuevas realidades, hemos querido destacar un objetivo especial que hemos denominado Objetivo CERO con el que pretendemos hacer un llamamiento singular a la necesidad de continuar reforzando las herramientas preventivas tradicionales, los soportes jurídicos y elementos de control clásicos para que, la visión de la necesidad de nuevos desarrollos coherentes con la evolución social no se haga a costa de desatender lo nuclear. Porque, curiosamente hoy se registra en muchas de nuestras sociedades un incremento de la siniestralidad ordinaria, la causada por golpes, atrapamientos, caídas, y accidentes que nada tienen que ver con los nuevos riesgos, el desarrollo tecnológico o la irrupción de la inteligencia artificial y que siguen causando invalidez y muertes evitables con instrumentos básicos de detección y evitación de riesgos comunes.</w:t>
      </w:r>
    </w:p>
    <w:p w:rsidR="00CB55D2" w:rsidRDefault="00CB55D2" w:rsidP="00CB55D2">
      <w:pPr>
        <w:spacing w:after="18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Frente a esa lacra persistente que es, ante todo, un drama humano antes que económico la IV Estrategia propone la revisión de la prevención tradicional con todo el rigor que su gravedad reclama. </w:t>
      </w:r>
    </w:p>
    <w:p w:rsidR="00571837" w:rsidRDefault="00571837" w:rsidP="00CB55D2">
      <w:pPr>
        <w:spacing w:after="180" w:line="360" w:lineRule="auto"/>
        <w:jc w:val="both"/>
        <w:rPr>
          <w:rFonts w:ascii="Arial" w:eastAsiaTheme="minorHAnsi" w:hAnsi="Arial" w:cs="Arial"/>
          <w:sz w:val="26"/>
          <w:szCs w:val="26"/>
          <w:lang w:eastAsia="en-US"/>
        </w:rPr>
      </w:pPr>
    </w:p>
    <w:p w:rsidR="00571837" w:rsidRDefault="00571837" w:rsidP="00CB55D2">
      <w:pPr>
        <w:spacing w:after="180" w:line="360" w:lineRule="auto"/>
        <w:jc w:val="both"/>
        <w:rPr>
          <w:rFonts w:ascii="Arial" w:eastAsiaTheme="minorHAnsi" w:hAnsi="Arial" w:cs="Arial"/>
          <w:sz w:val="26"/>
          <w:szCs w:val="26"/>
          <w:lang w:eastAsia="en-US"/>
        </w:rPr>
      </w:pPr>
    </w:p>
    <w:p w:rsidR="00571837" w:rsidRPr="00571837" w:rsidRDefault="00571837" w:rsidP="00CB55D2">
      <w:pPr>
        <w:spacing w:after="180" w:line="360" w:lineRule="auto"/>
        <w:jc w:val="both"/>
        <w:rPr>
          <w:rFonts w:ascii="Arial" w:eastAsiaTheme="minorHAnsi" w:hAnsi="Arial" w:cs="Arial"/>
          <w:sz w:val="26"/>
          <w:szCs w:val="26"/>
          <w:lang w:eastAsia="en-US"/>
        </w:rPr>
      </w:pP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Y tras este llamamiento a no bajar la guardia respecto de los lineamientos preventivos básicos, les resumo la arquitectura del resto de la Estrategia. El</w:t>
      </w:r>
      <w:r w:rsidRPr="00571837">
        <w:rPr>
          <w:rFonts w:ascii="Arial" w:eastAsiaTheme="minorHAnsi" w:hAnsi="Arial" w:cs="Arial"/>
          <w:b/>
          <w:sz w:val="26"/>
          <w:szCs w:val="26"/>
          <w:lang w:eastAsia="en-US"/>
        </w:rPr>
        <w:t xml:space="preserve"> “Objetivo 1”</w:t>
      </w:r>
      <w:r w:rsidRPr="00571837">
        <w:rPr>
          <w:rFonts w:ascii="Arial" w:eastAsiaTheme="minorHAnsi" w:hAnsi="Arial" w:cs="Arial"/>
          <w:sz w:val="26"/>
          <w:szCs w:val="26"/>
          <w:lang w:eastAsia="en-US"/>
        </w:rPr>
        <w:t xml:space="preserve"> se centra en las nuevas formas de trabajo: teletrabajo, trabajo híbrido, plataformas, desconexión digital, riesgos psicosociales derivados de la digitalización, ciberseguridad, formalización y gobernanza algorítmica.</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 El </w:t>
      </w:r>
      <w:r w:rsidRPr="00571837">
        <w:rPr>
          <w:rFonts w:ascii="Arial" w:eastAsiaTheme="minorHAnsi" w:hAnsi="Arial" w:cs="Arial"/>
          <w:b/>
          <w:sz w:val="26"/>
          <w:szCs w:val="26"/>
          <w:lang w:eastAsia="en-US"/>
        </w:rPr>
        <w:t>“Objetivo 2”</w:t>
      </w:r>
      <w:r w:rsidRPr="00571837">
        <w:rPr>
          <w:rFonts w:ascii="Arial" w:eastAsiaTheme="minorHAnsi" w:hAnsi="Arial" w:cs="Arial"/>
          <w:sz w:val="26"/>
          <w:szCs w:val="26"/>
          <w:lang w:eastAsia="en-US"/>
        </w:rPr>
        <w:t xml:space="preserve"> incorpora con claridad la visión de género, la prevención de la violencia y el acoso y la necesidad de datos desagregados, inspección sensible al género y protección efectiva frente a desigualdades estructurales.</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El </w:t>
      </w:r>
      <w:r w:rsidRPr="00571837">
        <w:rPr>
          <w:rFonts w:ascii="Arial" w:eastAsiaTheme="minorHAnsi" w:hAnsi="Arial" w:cs="Arial"/>
          <w:b/>
          <w:sz w:val="26"/>
          <w:szCs w:val="26"/>
          <w:lang w:eastAsia="en-US"/>
        </w:rPr>
        <w:t>“Objetivo 3”</w:t>
      </w:r>
      <w:r w:rsidRPr="00571837">
        <w:rPr>
          <w:rFonts w:ascii="Arial" w:eastAsiaTheme="minorHAnsi" w:hAnsi="Arial" w:cs="Arial"/>
          <w:sz w:val="26"/>
          <w:szCs w:val="26"/>
          <w:lang w:eastAsia="en-US"/>
        </w:rPr>
        <w:t xml:space="preserve"> aborda el impacto del cambio climático, desde el estrés térmico y la radiación ultravioleta hasta los eventos extremos, los riesgos biológicos emergentes y la transición justa hacia empleos verdes seguros.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El </w:t>
      </w:r>
      <w:r w:rsidRPr="00571837">
        <w:rPr>
          <w:rFonts w:ascii="Arial" w:eastAsiaTheme="minorHAnsi" w:hAnsi="Arial" w:cs="Arial"/>
          <w:b/>
          <w:sz w:val="26"/>
          <w:szCs w:val="26"/>
          <w:lang w:eastAsia="en-US"/>
        </w:rPr>
        <w:t>“Objetivo 4”</w:t>
      </w:r>
      <w:r w:rsidRPr="00571837">
        <w:rPr>
          <w:rFonts w:ascii="Arial" w:eastAsiaTheme="minorHAnsi" w:hAnsi="Arial" w:cs="Arial"/>
          <w:sz w:val="26"/>
          <w:szCs w:val="26"/>
          <w:lang w:eastAsia="en-US"/>
        </w:rPr>
        <w:t xml:space="preserve">, y esto debe quedar especialmente claro desde esta presentación pública, no es un objetivo autónomo en el sentido clásico, sino una capacidad transversal de apoyo a los demás: un Centro de Muestras o banco de pruebas para compartir tecnología e inteligencia artificial al servicio de la prevención, con supervisión humana, gobernanza del dato, criterios éticos y utilidad demostrable. No se concibe como un escaparate tecnológico vacío, sino como un espacio regional para validar, transferir y democratizar soluciones preventivas útiles para los países.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El </w:t>
      </w:r>
      <w:r w:rsidRPr="00571837">
        <w:rPr>
          <w:rFonts w:ascii="Arial" w:eastAsiaTheme="minorHAnsi" w:hAnsi="Arial" w:cs="Arial"/>
          <w:b/>
          <w:sz w:val="26"/>
          <w:szCs w:val="26"/>
          <w:lang w:eastAsia="en-US"/>
        </w:rPr>
        <w:t>“Objetivo 5”</w:t>
      </w:r>
      <w:r w:rsidRPr="00571837">
        <w:rPr>
          <w:rFonts w:ascii="Arial" w:eastAsiaTheme="minorHAnsi" w:hAnsi="Arial" w:cs="Arial"/>
          <w:sz w:val="26"/>
          <w:szCs w:val="26"/>
          <w:lang w:eastAsia="en-US"/>
        </w:rPr>
        <w:t xml:space="preserve"> se ocupa de la seguridad vial laboral, cuestión decisiva en una región donde los desplazamientos laborales y la logística de mercancías y personas siguen concentrando una parte muy relevante del daño.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El </w:t>
      </w:r>
      <w:r w:rsidRPr="00571837">
        <w:rPr>
          <w:rFonts w:ascii="Arial" w:eastAsiaTheme="minorHAnsi" w:hAnsi="Arial" w:cs="Arial"/>
          <w:b/>
          <w:sz w:val="26"/>
          <w:szCs w:val="26"/>
          <w:lang w:eastAsia="en-US"/>
        </w:rPr>
        <w:t>“Objetivo 6”</w:t>
      </w:r>
      <w:r w:rsidRPr="00571837">
        <w:rPr>
          <w:rFonts w:ascii="Arial" w:eastAsiaTheme="minorHAnsi" w:hAnsi="Arial" w:cs="Arial"/>
          <w:sz w:val="26"/>
          <w:szCs w:val="26"/>
          <w:lang w:eastAsia="en-US"/>
        </w:rPr>
        <w:t xml:space="preserve"> eleva a primer plano la prevención de los riesgos psicosociales y la protección de la salud mental, en línea con la evidencia y las guías de la OMS.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El</w:t>
      </w:r>
      <w:r w:rsidRPr="00571837">
        <w:rPr>
          <w:rFonts w:ascii="Arial" w:eastAsiaTheme="minorHAnsi" w:hAnsi="Arial" w:cs="Arial"/>
          <w:b/>
          <w:sz w:val="26"/>
          <w:szCs w:val="26"/>
          <w:lang w:eastAsia="en-US"/>
        </w:rPr>
        <w:t xml:space="preserve"> “Objetivo 7”</w:t>
      </w:r>
      <w:r w:rsidRPr="00571837">
        <w:rPr>
          <w:rFonts w:ascii="Arial" w:eastAsiaTheme="minorHAnsi" w:hAnsi="Arial" w:cs="Arial"/>
          <w:sz w:val="26"/>
          <w:szCs w:val="26"/>
          <w:lang w:eastAsia="en-US"/>
        </w:rPr>
        <w:t xml:space="preserve"> se dirige a la prevención de enfermedades profesionales, reforzando detección, notificación, trazabilidad de exposiciones y base científica. </w:t>
      </w:r>
    </w:p>
    <w:p w:rsidR="00571837" w:rsidRDefault="00571837" w:rsidP="00CB55D2">
      <w:pPr>
        <w:spacing w:after="160" w:line="360" w:lineRule="auto"/>
        <w:jc w:val="both"/>
        <w:rPr>
          <w:rFonts w:ascii="Arial" w:eastAsiaTheme="minorHAnsi" w:hAnsi="Arial" w:cs="Arial"/>
          <w:sz w:val="26"/>
          <w:szCs w:val="26"/>
          <w:lang w:eastAsia="en-US"/>
        </w:rPr>
      </w:pPr>
    </w:p>
    <w:p w:rsidR="00571837" w:rsidRDefault="00571837" w:rsidP="00CB55D2">
      <w:pPr>
        <w:spacing w:after="160" w:line="360" w:lineRule="auto"/>
        <w:jc w:val="both"/>
        <w:rPr>
          <w:rFonts w:ascii="Arial" w:eastAsiaTheme="minorHAnsi" w:hAnsi="Arial" w:cs="Arial"/>
          <w:sz w:val="26"/>
          <w:szCs w:val="26"/>
          <w:lang w:eastAsia="en-US"/>
        </w:rPr>
      </w:pP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Y el</w:t>
      </w:r>
      <w:r w:rsidRPr="00571837">
        <w:rPr>
          <w:rFonts w:ascii="Arial" w:eastAsiaTheme="minorHAnsi" w:hAnsi="Arial" w:cs="Arial"/>
          <w:b/>
          <w:sz w:val="26"/>
          <w:szCs w:val="26"/>
          <w:lang w:eastAsia="en-US"/>
        </w:rPr>
        <w:t xml:space="preserve"> “Objetivo 8”</w:t>
      </w:r>
      <w:r w:rsidRPr="00571837">
        <w:rPr>
          <w:rFonts w:ascii="Arial" w:eastAsiaTheme="minorHAnsi" w:hAnsi="Arial" w:cs="Arial"/>
          <w:sz w:val="26"/>
          <w:szCs w:val="26"/>
          <w:lang w:eastAsia="en-US"/>
        </w:rPr>
        <w:t xml:space="preserve"> focaliza la atención en sectores y colectivos singularmente vulnerables, desde la informalidad hasta la agricultura, la construcción, el empleo doméstico, las personas migrantes, jóvenes, personas con discapacidad o quienes afrontan barreras adicionales de acceso a la prevención y a la protección social.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Ahora bien, la verdadera solidez de esta IV Estrategia no descansa sólo en sus objetivos, sino en la distribución rigurosa de responsabilidades. A los países corresponde priorizar metas, definir responsables, plazos, fuentes de verificación e indicadores de proceso, cobertura y resultado, todo ello conforme a sus competencias nacionales.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Al diálogo social tripartito, actuar como mecanismo ordinario de validación, despliegue, negociación, seguimiento y mejora.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Y a la OISS asumir una función diferenciada, técnica y regional: elaborar estándares, protocolos, guías, marcos comparados, materiales formativos, repositorios, instrumentos de seguimiento, espacios de intercambio y herramientas que permitan adaptar las metas al plano nacional sin desdibujar la soberanía regulatoria de cada Estado.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Esa función de la OISS no se proclama en abstracto; se concreta en encomiendas. En el borrador que hoy se presenta, las encomiendas abarcan, entre otras, la elaboración de guías marco para nuevas formas de trabajo; estándares orientativos sobre desconexión digital; protocolos de riesgos psicosociales; materiales para inspección con perspectiva de género; estándares regionales de prevención frente a violencia y acoso; guías sobre calor, riesgos climáticos y transición justa; el diseño del modelo de gobernanza del Centro de Muestras; repositorios de indicadores y cuadros de mando; protocolos de retorno al trabajo; análisis comparados de sistemas de notificación de enfermedades profesionales; y herramientas específicas para colectivos vulnerables. </w:t>
      </w:r>
    </w:p>
    <w:p w:rsidR="00571837" w:rsidRDefault="00571837" w:rsidP="00CB55D2">
      <w:pPr>
        <w:spacing w:after="160" w:line="360" w:lineRule="auto"/>
        <w:jc w:val="both"/>
        <w:rPr>
          <w:rFonts w:ascii="Arial" w:eastAsiaTheme="minorHAnsi" w:hAnsi="Arial" w:cs="Arial"/>
          <w:sz w:val="26"/>
          <w:szCs w:val="26"/>
          <w:lang w:eastAsia="en-US"/>
        </w:rPr>
      </w:pPr>
    </w:p>
    <w:p w:rsidR="00571837" w:rsidRDefault="00571837" w:rsidP="00CB55D2">
      <w:pPr>
        <w:spacing w:after="160" w:line="360" w:lineRule="auto"/>
        <w:jc w:val="both"/>
        <w:rPr>
          <w:rFonts w:ascii="Arial" w:eastAsiaTheme="minorHAnsi" w:hAnsi="Arial" w:cs="Arial"/>
          <w:sz w:val="26"/>
          <w:szCs w:val="26"/>
          <w:lang w:eastAsia="en-US"/>
        </w:rPr>
      </w:pP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Esta combinación entre metas nacionales y encomiendas regionales es, a mi juicio, uno de los mayores aciertos metodológicos de la IV EISST.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Debo subrayar, además, que este documento es fruto de un intenso trabajo colaborativo de gran nivel técnico, desarrollado a ambos lados del Atlántico y alimentado por equipos especializados, por experiencias comparadas y por referencias internacionales fiables. En él dialogan la tradición iberoamericana de cooperación social, el acervo técnico acumulado por la OISS, los estándares internacionales de la OIT, las guías de la OMS, el horizonte del ODS 8 y la experiencia comparada de estrategias nacionales y marcos regionales. No estamos ante un documento improvisado: estamos ante una propuesta que busca ser técnicamente seria, políticamente viable y socialmente útil.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Adicionalmente, durante el periodo de observaciones, se han recibido 83 observaciones que han sido debidamente evaluadas e incorporadas en su mayoría a texto definitivo que hoy tienen a su disposición.</w:t>
      </w:r>
    </w:p>
    <w:p w:rsidR="00CB55D2"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Por todo ello, hoy no hacemos sólo una presentación. Hacemos una invitación. Invitamos a los gobiernos a asumir las metas que mejor respondan a sus prioridades nacionales. Invitamos a sindicatos y organizaciones empresariales a fortalecer el diálogo social como herramienta de eficacia preventiva. Invitamos a la inspección, a la academia, a los servicios de prevención, a las mutuas, a los parlamentos y a la sociedad civil especializada a convertir esta Estrategia en una plataforma de cooperación real. La IV EISST sólo cumplirá su misión si se transforma en políticas, acuerdos, herramientas, formación, datos y cultura preventiva. </w:t>
      </w:r>
    </w:p>
    <w:p w:rsidR="00571837" w:rsidRDefault="00571837" w:rsidP="00CB55D2">
      <w:pPr>
        <w:spacing w:after="160" w:line="360" w:lineRule="auto"/>
        <w:jc w:val="both"/>
        <w:rPr>
          <w:rFonts w:ascii="Arial" w:eastAsiaTheme="minorHAnsi" w:hAnsi="Arial" w:cs="Arial"/>
          <w:sz w:val="26"/>
          <w:szCs w:val="26"/>
          <w:lang w:eastAsia="en-US"/>
        </w:rPr>
      </w:pPr>
    </w:p>
    <w:p w:rsidR="00571837" w:rsidRDefault="00571837" w:rsidP="00CB55D2">
      <w:pPr>
        <w:spacing w:after="160" w:line="360" w:lineRule="auto"/>
        <w:jc w:val="both"/>
        <w:rPr>
          <w:rFonts w:ascii="Arial" w:eastAsiaTheme="minorHAnsi" w:hAnsi="Arial" w:cs="Arial"/>
          <w:sz w:val="26"/>
          <w:szCs w:val="26"/>
          <w:lang w:eastAsia="en-US"/>
        </w:rPr>
      </w:pPr>
    </w:p>
    <w:p w:rsidR="00571837" w:rsidRDefault="00571837" w:rsidP="00CB55D2">
      <w:pPr>
        <w:spacing w:after="160" w:line="360" w:lineRule="auto"/>
        <w:jc w:val="both"/>
        <w:rPr>
          <w:rFonts w:ascii="Arial" w:eastAsiaTheme="minorHAnsi" w:hAnsi="Arial" w:cs="Arial"/>
          <w:sz w:val="26"/>
          <w:szCs w:val="26"/>
          <w:lang w:eastAsia="en-US"/>
        </w:rPr>
      </w:pPr>
    </w:p>
    <w:p w:rsidR="00571837" w:rsidRDefault="00571837" w:rsidP="00CB55D2">
      <w:pPr>
        <w:spacing w:after="160" w:line="360" w:lineRule="auto"/>
        <w:jc w:val="both"/>
        <w:rPr>
          <w:rFonts w:ascii="Arial" w:eastAsiaTheme="minorHAnsi" w:hAnsi="Arial" w:cs="Arial"/>
          <w:sz w:val="26"/>
          <w:szCs w:val="26"/>
          <w:lang w:eastAsia="en-US"/>
        </w:rPr>
      </w:pPr>
    </w:p>
    <w:p w:rsidR="00571837" w:rsidRDefault="00571837" w:rsidP="00CB55D2">
      <w:pPr>
        <w:spacing w:after="160" w:line="360" w:lineRule="auto"/>
        <w:jc w:val="both"/>
        <w:rPr>
          <w:rFonts w:ascii="Arial" w:eastAsiaTheme="minorHAnsi" w:hAnsi="Arial" w:cs="Arial"/>
          <w:sz w:val="26"/>
          <w:szCs w:val="26"/>
          <w:lang w:eastAsia="en-US"/>
        </w:rPr>
      </w:pP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 xml:space="preserve">Señoras y señores, Iberoamérica necesita crecer, producir, innovar y competir. Pero necesita hacerlo sin resignarse al daño evitable, a la enfermedad prevenible, a la desigualdad naturalizada ni a la precariedad encubierta. Necesita una modernización que no sacrifique derechos, una digitalización que no debilite la dignidad laboral, una transición ecológica que no traslade riesgos y una gobernanza pública que sepa anticiparse a los nuevos desafíos. Esa es la razón de ser de esta IV Estrategia. Y esa es también la razón por la que la OISS renueva hoy, ante ustedes, su compromiso de seguir acompañando a los países de la región entre 2026 y 2030 con responsabilidad institucional, solvencia técnica y vocación de servicio. </w:t>
      </w:r>
    </w:p>
    <w:p w:rsidR="00CB55D2" w:rsidRPr="00571837" w:rsidRDefault="00CB55D2" w:rsidP="00CB55D2">
      <w:pPr>
        <w:spacing w:after="160" w:line="360" w:lineRule="auto"/>
        <w:jc w:val="both"/>
        <w:rPr>
          <w:rFonts w:ascii="Arial" w:eastAsiaTheme="minorHAnsi" w:hAnsi="Arial" w:cs="Arial"/>
          <w:sz w:val="26"/>
          <w:szCs w:val="26"/>
          <w:lang w:eastAsia="en-US"/>
        </w:rPr>
      </w:pPr>
      <w:r w:rsidRPr="00571837">
        <w:rPr>
          <w:rFonts w:ascii="Arial" w:eastAsiaTheme="minorHAnsi" w:hAnsi="Arial" w:cs="Arial"/>
          <w:sz w:val="26"/>
          <w:szCs w:val="26"/>
          <w:lang w:eastAsia="en-US"/>
        </w:rPr>
        <w:t>Muchas gracias.</w:t>
      </w:r>
    </w:p>
    <w:p w:rsidR="00CB55D2" w:rsidRPr="00571837" w:rsidRDefault="00CB55D2" w:rsidP="00CB55D2">
      <w:pPr>
        <w:spacing w:after="160" w:line="360" w:lineRule="auto"/>
        <w:jc w:val="both"/>
        <w:rPr>
          <w:rFonts w:ascii="Arial" w:eastAsiaTheme="minorHAnsi" w:hAnsi="Arial" w:cs="Arial"/>
          <w:b/>
          <w:i/>
          <w:sz w:val="26"/>
          <w:szCs w:val="26"/>
          <w:lang w:eastAsia="en-US"/>
        </w:rPr>
      </w:pPr>
      <w:r w:rsidRPr="00571837">
        <w:rPr>
          <w:rFonts w:ascii="Arial" w:eastAsiaTheme="minorHAnsi" w:hAnsi="Arial" w:cs="Arial"/>
          <w:b/>
          <w:i/>
          <w:sz w:val="26"/>
          <w:szCs w:val="26"/>
          <w:lang w:eastAsia="en-US"/>
        </w:rPr>
        <w:t>Dra. Gina Magnolia Riaño</w:t>
      </w:r>
    </w:p>
    <w:p w:rsidR="00CB55D2" w:rsidRPr="00571837" w:rsidRDefault="00CB55D2" w:rsidP="00CB55D2">
      <w:pPr>
        <w:spacing w:after="160" w:line="360" w:lineRule="auto"/>
        <w:jc w:val="both"/>
        <w:rPr>
          <w:rFonts w:ascii="Arial" w:eastAsiaTheme="minorHAnsi" w:hAnsi="Arial" w:cs="Arial"/>
          <w:b/>
          <w:i/>
          <w:sz w:val="26"/>
          <w:szCs w:val="26"/>
          <w:lang w:eastAsia="en-US"/>
        </w:rPr>
      </w:pPr>
      <w:r w:rsidRPr="00571837">
        <w:rPr>
          <w:rFonts w:ascii="Arial" w:eastAsiaTheme="minorHAnsi" w:hAnsi="Arial" w:cs="Arial"/>
          <w:b/>
          <w:i/>
          <w:sz w:val="26"/>
          <w:szCs w:val="26"/>
          <w:lang w:eastAsia="en-US"/>
        </w:rPr>
        <w:t>Secretaria General OISS</w:t>
      </w:r>
    </w:p>
    <w:p w:rsidR="00350F05" w:rsidRPr="00571837" w:rsidRDefault="00350F05" w:rsidP="00CB55D2">
      <w:pPr>
        <w:spacing w:after="160" w:line="360" w:lineRule="auto"/>
        <w:jc w:val="both"/>
        <w:rPr>
          <w:rFonts w:ascii="Arial" w:eastAsiaTheme="minorHAnsi" w:hAnsi="Arial" w:cs="Arial"/>
          <w:sz w:val="26"/>
          <w:szCs w:val="26"/>
          <w:lang w:eastAsia="en-US"/>
        </w:rPr>
      </w:pPr>
    </w:p>
    <w:sectPr w:rsidR="00350F05" w:rsidRPr="00571837">
      <w:headerReference w:type="default" r:id="rId7"/>
      <w:footerReference w:type="default" r:id="rId8"/>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2E5" w:rsidRDefault="002D32E5">
      <w:r>
        <w:separator/>
      </w:r>
    </w:p>
  </w:endnote>
  <w:endnote w:type="continuationSeparator" w:id="0">
    <w:p w:rsidR="002D32E5" w:rsidRDefault="002D3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0F5" w:rsidRDefault="00B90A34">
    <w:pPr>
      <w:jc w:val="center"/>
    </w:pPr>
    <w:r>
      <w:rPr>
        <w:color w:val="808080"/>
        <w:sz w:val="18"/>
        <w:szCs w:val="18"/>
      </w:rPr>
      <w:t xml:space="preserve">Página </w:t>
    </w:r>
    <w:r>
      <w:rPr>
        <w:color w:val="808080"/>
        <w:sz w:val="18"/>
        <w:szCs w:val="18"/>
      </w:rPr>
      <w:fldChar w:fldCharType="begin"/>
    </w:r>
    <w:r>
      <w:rPr>
        <w:color w:val="808080"/>
        <w:sz w:val="18"/>
        <w:szCs w:val="18"/>
      </w:rPr>
      <w:instrText>PAGE</w:instrText>
    </w:r>
    <w:r>
      <w:rPr>
        <w:color w:val="808080"/>
        <w:sz w:val="18"/>
        <w:szCs w:val="18"/>
      </w:rPr>
      <w:fldChar w:fldCharType="separate"/>
    </w:r>
    <w:r w:rsidR="0093325F">
      <w:rPr>
        <w:noProof/>
        <w:color w:val="808080"/>
        <w:sz w:val="18"/>
        <w:szCs w:val="18"/>
      </w:rPr>
      <w:t>8</w:t>
    </w:r>
    <w:r>
      <w:rPr>
        <w:color w:val="808080"/>
        <w:sz w:val="18"/>
        <w:szCs w:val="18"/>
      </w:rPr>
      <w:fldChar w:fldCharType="end"/>
    </w:r>
    <w:r>
      <w:rPr>
        <w:color w:val="808080"/>
        <w:sz w:val="18"/>
        <w:szCs w:val="18"/>
      </w:rPr>
      <w:t xml:space="preserve"> de </w:t>
    </w:r>
    <w:r>
      <w:rPr>
        <w:color w:val="808080"/>
        <w:sz w:val="18"/>
        <w:szCs w:val="18"/>
      </w:rPr>
      <w:fldChar w:fldCharType="begin"/>
    </w:r>
    <w:r>
      <w:rPr>
        <w:color w:val="808080"/>
        <w:sz w:val="18"/>
        <w:szCs w:val="18"/>
      </w:rPr>
      <w:instrText>NUMPAGES</w:instrText>
    </w:r>
    <w:r>
      <w:rPr>
        <w:color w:val="808080"/>
        <w:sz w:val="18"/>
        <w:szCs w:val="18"/>
      </w:rPr>
      <w:fldChar w:fldCharType="separate"/>
    </w:r>
    <w:r w:rsidR="0093325F">
      <w:rPr>
        <w:noProof/>
        <w:color w:val="808080"/>
        <w:sz w:val="18"/>
        <w:szCs w:val="18"/>
      </w:rPr>
      <w:t>8</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2E5" w:rsidRDefault="002D32E5">
      <w:r>
        <w:separator/>
      </w:r>
    </w:p>
  </w:footnote>
  <w:footnote w:type="continuationSeparator" w:id="0">
    <w:p w:rsidR="002D32E5" w:rsidRDefault="002D3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0F5" w:rsidRDefault="00EE5F52" w:rsidP="00571837">
    <w:pPr>
      <w:jc w:val="right"/>
    </w:pPr>
    <w:r>
      <w:rPr>
        <w:i/>
        <w:iCs/>
        <w:noProof/>
        <w:color w:val="808080"/>
        <w:sz w:val="18"/>
        <w:szCs w:val="18"/>
      </w:rPr>
      <w:drawing>
        <wp:inline distT="0" distB="0" distL="0" distR="0" wp14:anchorId="5097C7B5">
          <wp:extent cx="1432560" cy="6337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560" cy="633730"/>
                  </a:xfrm>
                  <a:prstGeom prst="rect">
                    <a:avLst/>
                  </a:prstGeom>
                  <a:noFill/>
                </pic:spPr>
              </pic:pic>
            </a:graphicData>
          </a:graphic>
        </wp:inline>
      </w:drawing>
    </w:r>
    <w:r>
      <w:rPr>
        <w:i/>
        <w:iCs/>
        <w:color w:val="80808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C47D2"/>
    <w:multiLevelType w:val="hybridMultilevel"/>
    <w:tmpl w:val="23EC6408"/>
    <w:lvl w:ilvl="0" w:tplc="E20A482A">
      <w:start w:val="1"/>
      <w:numFmt w:val="bullet"/>
      <w:lvlText w:val="●"/>
      <w:lvlJc w:val="left"/>
      <w:pPr>
        <w:ind w:left="720" w:hanging="360"/>
      </w:pPr>
    </w:lvl>
    <w:lvl w:ilvl="1" w:tplc="F126F3DE">
      <w:start w:val="1"/>
      <w:numFmt w:val="bullet"/>
      <w:lvlText w:val="○"/>
      <w:lvlJc w:val="left"/>
      <w:pPr>
        <w:ind w:left="1440" w:hanging="360"/>
      </w:pPr>
    </w:lvl>
    <w:lvl w:ilvl="2" w:tplc="3B6855DE">
      <w:start w:val="1"/>
      <w:numFmt w:val="bullet"/>
      <w:lvlText w:val="■"/>
      <w:lvlJc w:val="left"/>
      <w:pPr>
        <w:ind w:left="2160" w:hanging="360"/>
      </w:pPr>
    </w:lvl>
    <w:lvl w:ilvl="3" w:tplc="C004CA94">
      <w:start w:val="1"/>
      <w:numFmt w:val="bullet"/>
      <w:lvlText w:val="●"/>
      <w:lvlJc w:val="left"/>
      <w:pPr>
        <w:ind w:left="2880" w:hanging="360"/>
      </w:pPr>
    </w:lvl>
    <w:lvl w:ilvl="4" w:tplc="37E007CA">
      <w:start w:val="1"/>
      <w:numFmt w:val="bullet"/>
      <w:lvlText w:val="○"/>
      <w:lvlJc w:val="left"/>
      <w:pPr>
        <w:ind w:left="3600" w:hanging="360"/>
      </w:pPr>
    </w:lvl>
    <w:lvl w:ilvl="5" w:tplc="51963BBC">
      <w:start w:val="1"/>
      <w:numFmt w:val="bullet"/>
      <w:lvlText w:val="■"/>
      <w:lvlJc w:val="left"/>
      <w:pPr>
        <w:ind w:left="4320" w:hanging="360"/>
      </w:pPr>
    </w:lvl>
    <w:lvl w:ilvl="6" w:tplc="233C41BC">
      <w:start w:val="1"/>
      <w:numFmt w:val="bullet"/>
      <w:lvlText w:val="●"/>
      <w:lvlJc w:val="left"/>
      <w:pPr>
        <w:ind w:left="5040" w:hanging="360"/>
      </w:pPr>
    </w:lvl>
    <w:lvl w:ilvl="7" w:tplc="37AAF09A">
      <w:start w:val="1"/>
      <w:numFmt w:val="bullet"/>
      <w:lvlText w:val="●"/>
      <w:lvlJc w:val="left"/>
      <w:pPr>
        <w:ind w:left="5760" w:hanging="360"/>
      </w:pPr>
    </w:lvl>
    <w:lvl w:ilvl="8" w:tplc="CAA4A5A0">
      <w:start w:val="1"/>
      <w:numFmt w:val="bullet"/>
      <w:lvlText w:val="●"/>
      <w:lvlJc w:val="left"/>
      <w:pPr>
        <w:ind w:left="6480" w:hanging="360"/>
      </w:pPr>
    </w:lvl>
  </w:abstractNum>
  <w:abstractNum w:abstractNumId="1" w15:restartNumberingAfterBreak="0">
    <w:nsid w:val="7EAD0040"/>
    <w:multiLevelType w:val="hybridMultilevel"/>
    <w:tmpl w:val="9566E026"/>
    <w:lvl w:ilvl="0" w:tplc="48F4452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0F5"/>
    <w:rsid w:val="000134AB"/>
    <w:rsid w:val="00070134"/>
    <w:rsid w:val="00136670"/>
    <w:rsid w:val="002D32E5"/>
    <w:rsid w:val="003220A1"/>
    <w:rsid w:val="00350F05"/>
    <w:rsid w:val="004070F5"/>
    <w:rsid w:val="004530E7"/>
    <w:rsid w:val="004B1177"/>
    <w:rsid w:val="00571837"/>
    <w:rsid w:val="0062111B"/>
    <w:rsid w:val="006B15EE"/>
    <w:rsid w:val="006C67AE"/>
    <w:rsid w:val="00840E7F"/>
    <w:rsid w:val="00863A36"/>
    <w:rsid w:val="0093325F"/>
    <w:rsid w:val="00943F7B"/>
    <w:rsid w:val="00B90A34"/>
    <w:rsid w:val="00CB099F"/>
    <w:rsid w:val="00CB55D2"/>
    <w:rsid w:val="00D851F6"/>
    <w:rsid w:val="00E52791"/>
    <w:rsid w:val="00EC30A3"/>
    <w:rsid w:val="00EE5F52"/>
    <w:rsid w:val="00F13E02"/>
    <w:rsid w:val="00F46E9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97F20F"/>
  <w15:docId w15:val="{00674F27-5733-47DC-9A0D-EBF48AE18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spacing w:before="320" w:after="200"/>
      <w:outlineLvl w:val="0"/>
    </w:pPr>
    <w:rPr>
      <w:b/>
      <w:bCs/>
      <w:color w:val="1F3864"/>
      <w:sz w:val="32"/>
      <w:szCs w:val="32"/>
    </w:rPr>
  </w:style>
  <w:style w:type="paragraph" w:styleId="Ttulo2">
    <w:name w:val="heading 2"/>
    <w:qFormat/>
    <w:pPr>
      <w:spacing w:before="260" w:after="160"/>
      <w:outlineLvl w:val="1"/>
    </w:pPr>
    <w:rPr>
      <w:b/>
      <w:bCs/>
      <w:color w:val="1F3864"/>
      <w:sz w:val="26"/>
      <w:szCs w:val="26"/>
    </w:rPr>
  </w:style>
  <w:style w:type="paragraph" w:styleId="Ttulo3">
    <w:name w:val="heading 3"/>
    <w:qFormat/>
    <w:pPr>
      <w:outlineLvl w:val="2"/>
    </w:pPr>
    <w:rPr>
      <w:color w:val="1F4D78"/>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EE5F52"/>
    <w:pPr>
      <w:tabs>
        <w:tab w:val="center" w:pos="4252"/>
        <w:tab w:val="right" w:pos="8504"/>
      </w:tabs>
    </w:pPr>
  </w:style>
  <w:style w:type="character" w:customStyle="1" w:styleId="EncabezadoCar">
    <w:name w:val="Encabezado Car"/>
    <w:basedOn w:val="Fuentedeprrafopredeter"/>
    <w:link w:val="Encabezado"/>
    <w:uiPriority w:val="99"/>
    <w:rsid w:val="00EE5F52"/>
  </w:style>
  <w:style w:type="paragraph" w:styleId="Piedepgina">
    <w:name w:val="footer"/>
    <w:basedOn w:val="Normal"/>
    <w:link w:val="PiedepginaCar"/>
    <w:uiPriority w:val="99"/>
    <w:unhideWhenUsed/>
    <w:rsid w:val="00EE5F52"/>
    <w:pPr>
      <w:tabs>
        <w:tab w:val="center" w:pos="4252"/>
        <w:tab w:val="right" w:pos="8504"/>
      </w:tabs>
    </w:pPr>
  </w:style>
  <w:style w:type="character" w:customStyle="1" w:styleId="PiedepginaCar">
    <w:name w:val="Pie de página Car"/>
    <w:basedOn w:val="Fuentedeprrafopredeter"/>
    <w:link w:val="Piedepgina"/>
    <w:uiPriority w:val="99"/>
    <w:rsid w:val="00EE5F52"/>
  </w:style>
  <w:style w:type="paragraph" w:styleId="Textodeglobo">
    <w:name w:val="Balloon Text"/>
    <w:basedOn w:val="Normal"/>
    <w:link w:val="TextodegloboCar"/>
    <w:uiPriority w:val="99"/>
    <w:semiHidden/>
    <w:unhideWhenUsed/>
    <w:rsid w:val="00CB55D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55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8</Pages>
  <Words>2114</Words>
  <Characters>11629</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Discurso IV EISST 2026-2030</vt:lpstr>
    </vt:vector>
  </TitlesOfParts>
  <Company/>
  <LinksUpToDate>false</LinksUpToDate>
  <CharactersWithSpaces>13716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Discurso IV EISST 2026-2030</dc:title>
  <dc:creator>OISS</dc:creator>
  <cp:lastModifiedBy>jramosg1@outlook.es</cp:lastModifiedBy>
  <cp:revision>18</cp:revision>
  <cp:lastPrinted>2026-05-21T09:04:00Z</cp:lastPrinted>
  <dcterms:created xsi:type="dcterms:W3CDTF">2026-05-20T12:29:00Z</dcterms:created>
  <dcterms:modified xsi:type="dcterms:W3CDTF">2026-06-11T10:25:00Z</dcterms:modified>
</cp:coreProperties>
</file>